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03" w:rsidRDefault="00BB3A03" w:rsidP="00BB3A03">
      <w:pPr>
        <w:pStyle w:val="NormaleWeb"/>
        <w:rPr>
          <w:rFonts w:ascii="Arial" w:hAnsi="Arial" w:cs="Arial"/>
          <w:b/>
          <w:bCs/>
          <w:color w:val="000000"/>
        </w:rPr>
      </w:pPr>
    </w:p>
    <w:p w:rsidR="00BB3A03" w:rsidRPr="00BB3A03" w:rsidRDefault="00BB3A03" w:rsidP="00BB3A03">
      <w:pPr>
        <w:pStyle w:val="NormaleWeb"/>
        <w:spacing w:before="120" w:beforeAutospacing="0" w:line="360" w:lineRule="auto"/>
        <w:jc w:val="center"/>
        <w:rPr>
          <w:rFonts w:ascii="Arial" w:hAnsi="Arial" w:cs="Arial"/>
          <w:b/>
          <w:i/>
          <w:color w:val="000000"/>
        </w:rPr>
      </w:pPr>
      <w:r w:rsidRPr="00BB3A03">
        <w:rPr>
          <w:rFonts w:ascii="Arial" w:hAnsi="Arial" w:cs="Arial"/>
          <w:b/>
          <w:i/>
          <w:color w:val="000000"/>
        </w:rPr>
        <w:t>Il Consiglio regionale dell’Umbria</w:t>
      </w:r>
      <w:r>
        <w:rPr>
          <w:rFonts w:ascii="Arial" w:hAnsi="Arial" w:cs="Arial"/>
          <w:b/>
          <w:i/>
          <w:color w:val="000000"/>
        </w:rPr>
        <w:t xml:space="preserve"> discute i risultati </w:t>
      </w:r>
      <w:r>
        <w:rPr>
          <w:rFonts w:ascii="Arial" w:hAnsi="Arial" w:cs="Arial"/>
          <w:b/>
          <w:i/>
          <w:color w:val="000000"/>
        </w:rPr>
        <w:br/>
        <w:t>della legge regionale in materia di innovazione e sviluppo</w:t>
      </w:r>
    </w:p>
    <w:p w:rsidR="00BB3A03" w:rsidRDefault="00BB3A03" w:rsidP="00BB3A03">
      <w:pPr>
        <w:pStyle w:val="NormaleWeb"/>
        <w:rPr>
          <w:rFonts w:ascii="Arial" w:hAnsi="Arial" w:cs="Arial"/>
          <w:b/>
          <w:bCs/>
          <w:color w:val="000000"/>
        </w:rPr>
      </w:pPr>
    </w:p>
    <w:p w:rsidR="00BB3A03" w:rsidRDefault="00BB3A03" w:rsidP="00BB3A03">
      <w:pPr>
        <w:pStyle w:val="NormaleWeb"/>
        <w:spacing w:before="120" w:beforeAutospacing="0" w:after="120" w:afterAutospacing="0" w:line="360" w:lineRule="auto"/>
        <w:jc w:val="both"/>
      </w:pPr>
      <w:r w:rsidRPr="00BB3A03">
        <w:rPr>
          <w:rFonts w:ascii="Arial" w:hAnsi="Arial" w:cs="Arial"/>
          <w:i/>
          <w:color w:val="000000"/>
        </w:rPr>
        <w:t>Perugia, 28</w:t>
      </w:r>
      <w:r w:rsidRPr="00BB3A03">
        <w:rPr>
          <w:rFonts w:ascii="Arial" w:hAnsi="Arial" w:cs="Arial"/>
          <w:b/>
          <w:bCs/>
          <w:i/>
          <w:color w:val="000000"/>
        </w:rPr>
        <w:t xml:space="preserve"> </w:t>
      </w:r>
      <w:r w:rsidRPr="00BB3A03">
        <w:rPr>
          <w:rFonts w:ascii="Arial" w:hAnsi="Arial" w:cs="Arial"/>
          <w:i/>
          <w:color w:val="000000"/>
        </w:rPr>
        <w:t>giugno 2012</w:t>
      </w:r>
      <w:r>
        <w:rPr>
          <w:rFonts w:ascii="Arial" w:hAnsi="Arial" w:cs="Arial"/>
          <w:color w:val="000000"/>
        </w:rPr>
        <w:t xml:space="preserve"> – Nel triennio 2007–09 la Regione ha distribuito risorse da finalizzare alla innovazione e competitività del sistema produttivo umbro per circa 27 milioni di euro. Ne hanno beneficiato reti di imprese che raggruppano 664 aziende, distribuite in prevalenza nella Valle Umbra, in Valtiberina e nel ternano, attive in settori specifici come la ceramica, la grafica e la meccanica, nel commercio e nella green economy per settori nuovi e strategici come la domotica e la robotica che comportano forti risparmi energetici in ambito domestico. E' quanto è emerso dalla audizione con la Giunta regionale, organizzata a Palazzo Cesaroni dalla seconda Commissione consiliare, presieduta da Gianfranco Chiacchieroni che ha inteso approfondire la Relazione della Giunta per l'anno 2010, sulla clausola valutativa a suo tempo posta sugli effetti della legge regionale 25 del 2008, proprio in materia di innovazione e sviluppo.</w:t>
      </w:r>
    </w:p>
    <w:p w:rsidR="00BB3A03" w:rsidRDefault="00BB3A03" w:rsidP="00BB3A03">
      <w:pPr>
        <w:pStyle w:val="NormaleWeb"/>
        <w:spacing w:before="120" w:beforeAutospacing="0" w:after="120" w:afterAutospacing="0" w:line="360" w:lineRule="auto"/>
        <w:jc w:val="both"/>
      </w:pPr>
      <w:r>
        <w:rPr>
          <w:rFonts w:ascii="Arial" w:hAnsi="Arial" w:cs="Arial"/>
          <w:color w:val="000000"/>
        </w:rPr>
        <w:t xml:space="preserve">Dalla audizione con i dirigenti dell'assessorato è emerso che hanno trovato copertura finanziaria circa la metà delle 1362 domande presentate sui singoli bandi e che la scelta delle aziende beneficiarie impostata su parametri di qualità è stata fatta con una valutazione dei progetti fatta anche da soggetti esterni alla Regione. Alle osservazioni e richieste di approfondimento poste dai commissari su alcuni aspetti della gestione dei bandi, (in particolare Mantovani e Nevi (Pdl), Brutti (Idv) è stato risposto che è in preparazione da parte degli uffici una analisi a campione di imprese per valutare meglio e con più precisione gli effetti e le ricadute dei progetti realizzati. Sul rischio di utilizzare questi bandi solo ai fini di ottenere un contributo finanziario, non prettamente finalizzato a processi di innovazione, i dirigenti del settore hanno riferito che la complessità dei bandi, i vincoli normativi che pongono in tema di certificazione di adempimenti, di fatto scoraggiano le imprese che volessero partecipare solo al fine di riscuotere il contributo previsto. </w:t>
      </w:r>
    </w:p>
    <w:p w:rsidR="00BB3A03" w:rsidRDefault="00BB3A03" w:rsidP="00BB3A03">
      <w:pPr>
        <w:pStyle w:val="Normale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 termine dell'incontro la II Commissione, su proposta del capogruppo del Pdl Raffaele Nevi condivisa da tutti, ha deciso di chiamare in audizione sugli stessi temi anche le associazioni delle imprese. </w:t>
      </w:r>
    </w:p>
    <w:p w:rsidR="00CD6B4D" w:rsidRDefault="00CD6B4D" w:rsidP="00BB3A03">
      <w:pPr>
        <w:pStyle w:val="NormaleWeb"/>
        <w:spacing w:before="120" w:beforeAutospacing="0" w:after="120" w:afterAutospacing="0" w:line="360" w:lineRule="auto"/>
        <w:jc w:val="both"/>
      </w:pPr>
      <w:r>
        <w:rPr>
          <w:rFonts w:ascii="Arial" w:hAnsi="Arial" w:cs="Arial"/>
          <w:color w:val="000000"/>
        </w:rPr>
        <w:t xml:space="preserve">Dal sito web: </w:t>
      </w:r>
      <w:hyperlink r:id="rId4" w:history="1">
        <w:r w:rsidRPr="008B0FC1">
          <w:rPr>
            <w:rStyle w:val="Collegamentoipertestuale"/>
            <w:rFonts w:ascii="Arial" w:hAnsi="Arial" w:cs="Arial"/>
          </w:rPr>
          <w:t>www.consiglio.regione.umbria.it</w:t>
        </w:r>
      </w:hyperlink>
      <w:r>
        <w:rPr>
          <w:rFonts w:ascii="Arial" w:hAnsi="Arial" w:cs="Arial"/>
          <w:color w:val="000000"/>
        </w:rPr>
        <w:t xml:space="preserve"> </w:t>
      </w:r>
    </w:p>
    <w:p w:rsidR="00F02FD7" w:rsidRDefault="00F02FD7"/>
    <w:sectPr w:rsidR="00F02FD7" w:rsidSect="00F02F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283"/>
  <w:characterSpacingControl w:val="doNotCompress"/>
  <w:compat/>
  <w:rsids>
    <w:rsidRoot w:val="00BB3A03"/>
    <w:rsid w:val="00176FE2"/>
    <w:rsid w:val="00A1600F"/>
    <w:rsid w:val="00B835CA"/>
    <w:rsid w:val="00BB3A03"/>
    <w:rsid w:val="00CD6B4D"/>
    <w:rsid w:val="00F0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00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60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A1600F"/>
    <w:pPr>
      <w:keepNext/>
      <w:spacing w:after="0" w:line="340" w:lineRule="exact"/>
      <w:outlineLvl w:val="2"/>
    </w:pPr>
    <w:rPr>
      <w:rFonts w:ascii="Bell MT" w:eastAsia="Times New Roman" w:hAnsi="Bell MT"/>
      <w:b/>
      <w:bCs/>
      <w:sz w:val="2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60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A1600F"/>
    <w:rPr>
      <w:rFonts w:ascii="Bell MT" w:eastAsia="Times New Roman" w:hAnsi="Bell MT"/>
      <w:b/>
      <w:bCs/>
      <w:sz w:val="26"/>
      <w:szCs w:val="24"/>
    </w:rPr>
  </w:style>
  <w:style w:type="character" w:styleId="Enfasigrassetto">
    <w:name w:val="Strong"/>
    <w:basedOn w:val="Carpredefinitoparagrafo"/>
    <w:uiPriority w:val="22"/>
    <w:qFormat/>
    <w:rsid w:val="00A1600F"/>
    <w:rPr>
      <w:b/>
      <w:bCs/>
    </w:rPr>
  </w:style>
  <w:style w:type="paragraph" w:styleId="Paragrafoelenco">
    <w:name w:val="List Paragraph"/>
    <w:basedOn w:val="Normale"/>
    <w:uiPriority w:val="34"/>
    <w:qFormat/>
    <w:rsid w:val="00A1600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B3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D6B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iglio.regione.um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Company>ASVVAPP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3</cp:revision>
  <dcterms:created xsi:type="dcterms:W3CDTF">2012-07-03T16:36:00Z</dcterms:created>
  <dcterms:modified xsi:type="dcterms:W3CDTF">2012-07-03T16:37:00Z</dcterms:modified>
</cp:coreProperties>
</file>